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A1" w:rsidRDefault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                                                  </w:t>
      </w:r>
      <w:r w:rsidR="00BA40A1"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5A7D6C" w:rsidRPr="005A7D6C" w:rsidRDefault="005A7D6C" w:rsidP="005A7D6C">
      <w:pPr>
        <w:spacing w:before="120" w:after="120" w:line="240" w:lineRule="auto"/>
        <w:jc w:val="center"/>
        <w:outlineLvl w:val="1"/>
        <w:rPr>
          <w:rFonts w:ascii="XO Thames" w:eastAsia="Times New Roman" w:hAnsi="XO Thames" w:cs="Times New Roman"/>
          <w:b/>
          <w:color w:val="00A0FF"/>
          <w:sz w:val="28"/>
          <w:szCs w:val="28"/>
        </w:rPr>
      </w:pPr>
      <w:r w:rsidRPr="005A7D6C">
        <w:rPr>
          <w:rFonts w:ascii="XO Thames" w:eastAsia="Times New Roman" w:hAnsi="XO Thames" w:cs="Times New Roman"/>
          <w:b/>
          <w:noProof/>
          <w:color w:val="00A0FF"/>
          <w:sz w:val="26"/>
          <w:szCs w:val="20"/>
        </w:rPr>
        <w:drawing>
          <wp:inline distT="0" distB="0" distL="0" distR="0" wp14:anchorId="0CFF854C" wp14:editId="41A97280">
            <wp:extent cx="563880" cy="82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6C" w:rsidRPr="005A7D6C" w:rsidRDefault="005A7D6C" w:rsidP="005A7D6C">
      <w:pPr>
        <w:spacing w:after="0" w:line="276" w:lineRule="auto"/>
        <w:jc w:val="center"/>
        <w:rPr>
          <w:rFonts w:ascii="XO Thames" w:eastAsia="Times New Roman" w:hAnsi="XO Thames" w:cs="Times New Roman"/>
          <w:b/>
          <w:i/>
          <w:color w:val="000000"/>
          <w:sz w:val="24"/>
          <w:szCs w:val="24"/>
        </w:rPr>
      </w:pPr>
      <w:r w:rsidRPr="005A7D6C">
        <w:rPr>
          <w:rFonts w:ascii="XO Thames" w:eastAsia="Times New Roman" w:hAnsi="XO Thames" w:cs="Times New Roman"/>
          <w:b/>
          <w:color w:val="000000"/>
          <w:sz w:val="24"/>
          <w:szCs w:val="24"/>
        </w:rPr>
        <w:t xml:space="preserve">АДМИНИСТРАЦИЯ </w:t>
      </w:r>
    </w:p>
    <w:p w:rsidR="005A7D6C" w:rsidRPr="005A7D6C" w:rsidRDefault="005A7D6C" w:rsidP="005A7D6C">
      <w:pPr>
        <w:spacing w:after="0" w:line="276" w:lineRule="auto"/>
        <w:jc w:val="center"/>
        <w:rPr>
          <w:rFonts w:ascii="XO Thames" w:eastAsia="Times New Roman" w:hAnsi="XO Thames" w:cs="Times New Roman"/>
          <w:b/>
          <w:i/>
          <w:color w:val="000000"/>
          <w:sz w:val="24"/>
          <w:szCs w:val="24"/>
        </w:rPr>
      </w:pPr>
      <w:r w:rsidRPr="005A7D6C">
        <w:rPr>
          <w:rFonts w:ascii="XO Thames" w:eastAsia="Times New Roman" w:hAnsi="XO Thames" w:cs="Times New Roman"/>
          <w:b/>
          <w:color w:val="000000"/>
          <w:sz w:val="24"/>
          <w:szCs w:val="24"/>
        </w:rPr>
        <w:t>ДОБРИНСКОГО СЕЛЬСКОГО ПОСЕЛЕНИЯ</w:t>
      </w:r>
    </w:p>
    <w:p w:rsidR="005A7D6C" w:rsidRPr="005A7D6C" w:rsidRDefault="005A7D6C" w:rsidP="005A7D6C">
      <w:pPr>
        <w:spacing w:after="0" w:line="276" w:lineRule="auto"/>
        <w:jc w:val="center"/>
        <w:rPr>
          <w:rFonts w:ascii="XO Thames" w:eastAsia="Times New Roman" w:hAnsi="XO Thames" w:cs="Times New Roman"/>
          <w:b/>
          <w:i/>
          <w:color w:val="000000"/>
          <w:sz w:val="24"/>
          <w:szCs w:val="24"/>
        </w:rPr>
      </w:pPr>
      <w:r w:rsidRPr="005A7D6C">
        <w:rPr>
          <w:rFonts w:ascii="XO Thames" w:eastAsia="Times New Roman" w:hAnsi="XO Thames" w:cs="Times New Roman"/>
          <w:b/>
          <w:color w:val="000000"/>
          <w:sz w:val="24"/>
          <w:szCs w:val="24"/>
        </w:rPr>
        <w:t>УРЮПИНСКОГО МУНИЦИПАЛЬНОГО РАЙОНА</w:t>
      </w:r>
    </w:p>
    <w:p w:rsidR="005A7D6C" w:rsidRPr="005A7D6C" w:rsidRDefault="005A7D6C" w:rsidP="005A7D6C">
      <w:pPr>
        <w:pBdr>
          <w:bottom w:val="thickThinSmallGap" w:sz="24" w:space="1" w:color="auto"/>
        </w:pBdr>
        <w:spacing w:after="0" w:line="276" w:lineRule="auto"/>
        <w:jc w:val="center"/>
        <w:rPr>
          <w:rFonts w:ascii="XO Thames" w:eastAsia="Times New Roman" w:hAnsi="XO Thames" w:cs="Times New Roman"/>
          <w:b/>
          <w:i/>
          <w:color w:val="000000"/>
          <w:sz w:val="24"/>
          <w:szCs w:val="24"/>
        </w:rPr>
      </w:pPr>
      <w:r w:rsidRPr="005A7D6C">
        <w:rPr>
          <w:rFonts w:ascii="XO Thames" w:eastAsia="Times New Roman" w:hAnsi="XO Thames" w:cs="Times New Roman"/>
          <w:b/>
          <w:color w:val="000000"/>
          <w:sz w:val="24"/>
          <w:szCs w:val="24"/>
        </w:rPr>
        <w:t>ВОЛГОГРАДСКОЙ ОБЛАСТИ</w:t>
      </w:r>
    </w:p>
    <w:p w:rsidR="005A7D6C" w:rsidRPr="005A7D6C" w:rsidRDefault="005A7D6C" w:rsidP="005A7D6C">
      <w:pPr>
        <w:spacing w:after="0" w:line="276" w:lineRule="auto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5A7D6C">
        <w:rPr>
          <w:rFonts w:ascii="XO Thames" w:eastAsia="Times New Roman" w:hAnsi="XO Thames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123E" w:rsidRPr="00BA40A1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3626F4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E17E8">
        <w:rPr>
          <w:rFonts w:ascii="Times New Roman" w:eastAsia="Times New Roman" w:hAnsi="Times New Roman" w:cs="Times New Roman"/>
          <w:color w:val="000000"/>
          <w:sz w:val="24"/>
        </w:rPr>
        <w:t>___.____._______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E17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E17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E17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E17E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1E17E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Добринского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1E17E8">
        <w:rPr>
          <w:rFonts w:ascii="Times New Roman" w:eastAsia="Times New Roman" w:hAnsi="Times New Roman" w:cs="Times New Roman"/>
          <w:b/>
          <w:bCs/>
          <w:color w:val="000000"/>
          <w:sz w:val="24"/>
        </w:rPr>
        <w:t>Урюпинского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F153D8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F153D8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 Волгоградской области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</w:t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ПОСТАНОВЛЯЮ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A86A18" w:rsidRPr="00A86A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86A18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A86A18">
        <w:rPr>
          <w:rFonts w:ascii="Times New Roman" w:eastAsia="Times New Roman" w:hAnsi="Times New Roman" w:cs="Times New Roman"/>
          <w:color w:val="000000"/>
          <w:sz w:val="24"/>
        </w:rPr>
        <w:t>Урюпинского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86A18" w:rsidRPr="00423EC1" w:rsidRDefault="00A86A18" w:rsidP="00A86A18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Глава Добринского сельского поселения</w:t>
      </w:r>
    </w:p>
    <w:p w:rsidR="00A86A18" w:rsidRPr="00423EC1" w:rsidRDefault="00A86A18" w:rsidP="00A86A18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Урюпинского муниципального района</w:t>
      </w:r>
    </w:p>
    <w:p w:rsidR="000D123E" w:rsidRPr="00E00E7B" w:rsidRDefault="00A86A18" w:rsidP="00E00E7B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Волгоградской области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="00E00E7B">
        <w:rPr>
          <w:rFonts w:ascii="Times New Roman" w:hAnsi="Times New Roman"/>
          <w:szCs w:val="24"/>
        </w:rPr>
        <w:t xml:space="preserve">         А.Ю. Бондаренко</w:t>
      </w: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</w:t>
      </w:r>
      <w:r w:rsidR="00E00E7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E00E7B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00E7B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Урюпинского муниципального района</w:t>
      </w:r>
      <w:r w:rsidR="00167612">
        <w:rPr>
          <w:rFonts w:ascii="Times New Roman" w:eastAsia="Times New Roman" w:hAnsi="Times New Roman" w:cs="Times New Roman"/>
          <w:color w:val="000000"/>
          <w:sz w:val="24"/>
        </w:rPr>
        <w:t xml:space="preserve">  №     </w:t>
      </w:r>
      <w:proofErr w:type="gramStart"/>
      <w:r w:rsidR="00167612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="0016761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167612">
        <w:rPr>
          <w:rFonts w:ascii="Times New Roman" w:eastAsia="Times New Roman" w:hAnsi="Times New Roman" w:cs="Times New Roman"/>
          <w:b/>
          <w:bCs/>
          <w:color w:val="000000"/>
          <w:sz w:val="24"/>
        </w:rPr>
        <w:t>Добринского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1676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Урюпинского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16761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proofErr w:type="gramEnd"/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proofErr w:type="spellStart"/>
      <w:r w:rsidR="00811A5C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11A5C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811A5C">
        <w:rPr>
          <w:rFonts w:ascii="Times New Roman" w:eastAsia="Times New Roman" w:hAnsi="Times New Roman" w:cs="Times New Roman"/>
          <w:color w:val="000000"/>
          <w:sz w:val="24"/>
        </w:rPr>
        <w:t>30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811A5C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811A5C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0D123E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5E71EC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5E71E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Информирование</w:t>
            </w:r>
          </w:p>
          <w:p w:rsidR="000D123E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6A7B" w:rsidRDefault="005D01A9" w:rsidP="008A006A">
            <w:pPr>
              <w:spacing w:after="0" w:line="276" w:lineRule="auto"/>
              <w:jc w:val="center"/>
            </w:pPr>
            <w:r w:rsidRPr="00956A7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E71EC" w:rsidRPr="00956A7B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="005E71EC" w:rsidRPr="00956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6A7B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0D123E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6A7B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956A7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Обобщение правоприменительной практики</w:t>
            </w:r>
          </w:p>
          <w:p w:rsidR="000D123E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5D01A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A006A" w:rsidP="008A006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956A7B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="005D01A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8A006A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8A006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Объявление предостережения</w:t>
            </w:r>
          </w:p>
          <w:p w:rsidR="000D123E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 w:rsidP="008A006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8A006A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AA1E6D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AA1E6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Консультирование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A006A" w:rsidP="008A006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 w:rsidRPr="00E575CA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E575CA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E575C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Профилактический визит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E575CA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756EF2" w:rsidRDefault="00E57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56EF2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3 квартал 2023г.</w:t>
            </w:r>
          </w:p>
          <w:p w:rsidR="000D123E" w:rsidRPr="00756EF2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756EF2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D123E" w:rsidRPr="00756EF2" w:rsidRDefault="000D123E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A006A" w:rsidP="008A006A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4506"/>
        <w:gridCol w:w="3873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5D01A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350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A5FFB"/>
    <w:rsid w:val="000D123E"/>
    <w:rsid w:val="00167612"/>
    <w:rsid w:val="00184AFB"/>
    <w:rsid w:val="00191534"/>
    <w:rsid w:val="001B6B47"/>
    <w:rsid w:val="001D67C6"/>
    <w:rsid w:val="001E0313"/>
    <w:rsid w:val="001E17E8"/>
    <w:rsid w:val="001F58E6"/>
    <w:rsid w:val="002A2BBC"/>
    <w:rsid w:val="002B3A9B"/>
    <w:rsid w:val="002C33ED"/>
    <w:rsid w:val="003243D1"/>
    <w:rsid w:val="003251DC"/>
    <w:rsid w:val="003424FA"/>
    <w:rsid w:val="00350A3C"/>
    <w:rsid w:val="003626F4"/>
    <w:rsid w:val="0036460F"/>
    <w:rsid w:val="0037077E"/>
    <w:rsid w:val="00377C8B"/>
    <w:rsid w:val="003E40A4"/>
    <w:rsid w:val="00471BD3"/>
    <w:rsid w:val="004908EE"/>
    <w:rsid w:val="004A7CFA"/>
    <w:rsid w:val="004B2E2C"/>
    <w:rsid w:val="0051273A"/>
    <w:rsid w:val="0056633F"/>
    <w:rsid w:val="00592F86"/>
    <w:rsid w:val="005A7D6C"/>
    <w:rsid w:val="005D01A9"/>
    <w:rsid w:val="005D1E3A"/>
    <w:rsid w:val="005E71EC"/>
    <w:rsid w:val="006617E9"/>
    <w:rsid w:val="007328C6"/>
    <w:rsid w:val="00747876"/>
    <w:rsid w:val="00756EF2"/>
    <w:rsid w:val="00765F6D"/>
    <w:rsid w:val="00766AC6"/>
    <w:rsid w:val="007A7AC3"/>
    <w:rsid w:val="007D14A8"/>
    <w:rsid w:val="00810009"/>
    <w:rsid w:val="00811A5C"/>
    <w:rsid w:val="0085320C"/>
    <w:rsid w:val="00886BF1"/>
    <w:rsid w:val="008A006A"/>
    <w:rsid w:val="008A6ADC"/>
    <w:rsid w:val="008D4CE2"/>
    <w:rsid w:val="009256BA"/>
    <w:rsid w:val="009279F5"/>
    <w:rsid w:val="00956A7B"/>
    <w:rsid w:val="009D0D81"/>
    <w:rsid w:val="009D59F5"/>
    <w:rsid w:val="00A70F2A"/>
    <w:rsid w:val="00A86A18"/>
    <w:rsid w:val="00AA1E6D"/>
    <w:rsid w:val="00AC6BEA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00E7B"/>
    <w:rsid w:val="00E2047A"/>
    <w:rsid w:val="00E308F1"/>
    <w:rsid w:val="00E53DF8"/>
    <w:rsid w:val="00E575CA"/>
    <w:rsid w:val="00E6341E"/>
    <w:rsid w:val="00EC6304"/>
    <w:rsid w:val="00EF2FE7"/>
    <w:rsid w:val="00F153D8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4</cp:revision>
  <dcterms:created xsi:type="dcterms:W3CDTF">2022-09-15T12:50:00Z</dcterms:created>
  <dcterms:modified xsi:type="dcterms:W3CDTF">2022-09-28T11:18:00Z</dcterms:modified>
</cp:coreProperties>
</file>