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9" w:rsidRPr="002C0923" w:rsidRDefault="005F4529" w:rsidP="005F4529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F4529" w:rsidRPr="002C0923" w:rsidRDefault="005F4529" w:rsidP="005F45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F4529" w:rsidRPr="002C0923" w:rsidRDefault="005F4529" w:rsidP="005F452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5F4529" w:rsidRPr="002C0923" w:rsidRDefault="005F4529" w:rsidP="005F4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5F4529" w:rsidRPr="002C0923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E7E432B" wp14:editId="4CE3B33E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FC53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5F4529" w:rsidRDefault="008C3F11" w:rsidP="005F452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5F45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апреля</w:t>
      </w:r>
      <w:proofErr w:type="gramEnd"/>
      <w:r w:rsidR="005F4529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 w:rsidR="005F45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5F45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года                       №16</w:t>
      </w:r>
    </w:p>
    <w:p w:rsidR="005F4529" w:rsidRDefault="005F4529" w:rsidP="005F4529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A05" w:rsidRDefault="00BD1A05"/>
    <w:p w:rsidR="005F4529" w:rsidRDefault="005F4529"/>
    <w:p w:rsidR="005F4529" w:rsidRPr="005F4529" w:rsidRDefault="005F4529" w:rsidP="005F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решения </w:t>
      </w:r>
      <w:proofErr w:type="gramStart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о  внесении</w:t>
      </w:r>
      <w:proofErr w:type="gram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Креповского</w:t>
      </w:r>
      <w:proofErr w:type="spell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Урюпинского муниципального района Волгоградской области</w:t>
      </w:r>
    </w:p>
    <w:p w:rsidR="005F4529" w:rsidRPr="005F4529" w:rsidRDefault="005F4529" w:rsidP="005F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529" w:rsidRPr="005F4529" w:rsidRDefault="005F4529" w:rsidP="005F4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целях создания условий для устойчивого развития </w:t>
      </w:r>
      <w:r w:rsidR="00B84F6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территории</w:t>
      </w:r>
      <w:r w:rsidRPr="005F45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сельск</w:t>
      </w:r>
      <w:r w:rsidR="00B84F6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ого поселения</w:t>
      </w:r>
      <w:bookmarkStart w:id="0" w:name="_GoBack"/>
      <w:bookmarkEnd w:id="0"/>
      <w:r w:rsidRPr="005F452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Урюпинского муниципального района, руководствуясь 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</w:t>
      </w:r>
      <w:proofErr w:type="gramStart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 от</w:t>
      </w:r>
      <w:proofErr w:type="gram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октября 2003г.  № 131-ФЗ «Об общих принципах организации местного самоуправления в Российской Федерации», статьей 31 Градостроительного кодекса Российской Федерации, п о с </w:t>
      </w:r>
      <w:proofErr w:type="gramStart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н о в л я ю:</w:t>
      </w:r>
    </w:p>
    <w:p w:rsidR="005F4529" w:rsidRPr="005F4529" w:rsidRDefault="005F4529" w:rsidP="005F4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Разработать проект</w:t>
      </w:r>
      <w:r w:rsidR="00F4777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внесения изменений в </w:t>
      </w:r>
      <w:hyperlink r:id="rId4" w:history="1">
        <w:r w:rsidRPr="005F4529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Правила</w:t>
        </w:r>
      </w:hyperlink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proofErr w:type="spellStart"/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Креповского</w:t>
      </w:r>
      <w:proofErr w:type="spell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Урюпинского муниципального района Волгоградской области.</w:t>
      </w:r>
    </w:p>
    <w:p w:rsidR="005F4529" w:rsidRPr="005F4529" w:rsidRDefault="005F4529" w:rsidP="005F45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Внести в  </w:t>
      </w:r>
      <w:hyperlink r:id="rId5" w:history="1">
        <w:r w:rsidRPr="005F4529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Правила</w:t>
        </w:r>
      </w:hyperlink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proofErr w:type="spellStart"/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Креповского</w:t>
      </w:r>
      <w:proofErr w:type="spellEnd"/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0116F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Урюпинского муниципального района Волгоградской области изменения, согласно разработанным проектам.</w:t>
      </w:r>
    </w:p>
    <w:p w:rsidR="005F4529" w:rsidRPr="005F4529" w:rsidRDefault="005F4529" w:rsidP="005F45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</w:t>
      </w:r>
      <w:r w:rsidR="00F47777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постановления оставляю за собой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4529" w:rsidRPr="005F4529" w:rsidRDefault="005F4529" w:rsidP="005F45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47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его подписания </w:t>
      </w:r>
      <w:proofErr w:type="gramStart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>и  подлежит</w:t>
      </w:r>
      <w:proofErr w:type="gramEnd"/>
      <w:r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официальному опубликованию.</w:t>
      </w:r>
    </w:p>
    <w:p w:rsidR="005F4529" w:rsidRPr="005F4529" w:rsidRDefault="005F4529" w:rsidP="005F4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529" w:rsidRPr="005F4529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Креповского</w:t>
      </w:r>
      <w:proofErr w:type="spellEnd"/>
    </w:p>
    <w:p w:rsidR="005F4529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5F4529"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А.П. Щелконогов</w:t>
      </w:r>
      <w:r w:rsidR="005F4529" w:rsidRPr="005F4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</w:p>
    <w:p w:rsidR="00F47777" w:rsidRPr="005F4529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777" w:rsidRPr="005F4529" w:rsidRDefault="00F47777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lastRenderedPageBreak/>
        <w:t>Проект</w:t>
      </w:r>
    </w:p>
    <w:p w:rsidR="005F4529" w:rsidRPr="005F4529" w:rsidRDefault="005F4529" w:rsidP="005F4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  <w:proofErr w:type="spellStart"/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Креповского</w:t>
      </w:r>
      <w:proofErr w:type="spellEnd"/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области, утвержденные решением Урюпинской районной Думы от 19 декабря 2018 года № 53/503</w:t>
      </w:r>
    </w:p>
    <w:p w:rsidR="005F4529" w:rsidRPr="005F4529" w:rsidRDefault="005F4529" w:rsidP="005F4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редакции решения № 4/43 от 23.12.2019)</w:t>
      </w: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статьей 20 Градостроительного кодекса Российской Федерации, </w:t>
      </w:r>
      <w:r w:rsidRPr="005F4529">
        <w:rPr>
          <w:rFonts w:ascii="Times New Roman" w:hAnsi="Times New Roman" w:cs="Times New Roman"/>
          <w:bCs/>
          <w:sz w:val="28"/>
          <w:szCs w:val="28"/>
        </w:rPr>
        <w:t xml:space="preserve">Приказом Минэкономразвития России от 01 сентября 2014 года № 540 «Об утверждении классификатора видов разрешенного использования земельных участков» (в редакции Приказа Минэкономразвития России от 04 февраля 2019 № 44), </w:t>
      </w:r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части 3 статьи 5 Устава Урюпинского муниципального района Волгоградской области, Урюпинская районная Дума </w:t>
      </w: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5F4529" w:rsidRPr="005F4529" w:rsidRDefault="005F4529" w:rsidP="005F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</w:t>
      </w:r>
      <w:proofErr w:type="spellStart"/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Креповского</w:t>
      </w:r>
      <w:proofErr w:type="spellEnd"/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Урюпинского муниципального района Волгоградской области следующее изменения:</w:t>
      </w:r>
    </w:p>
    <w:p w:rsidR="005F4529" w:rsidRPr="005F4529" w:rsidRDefault="005F4529" w:rsidP="005F45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в пункте 1 статьи 18 таблицу изложить в следующей редакции:</w:t>
      </w:r>
    </w:p>
    <w:p w:rsidR="005F4529" w:rsidRPr="005F4529" w:rsidRDefault="005F4529" w:rsidP="005F452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55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8"/>
      </w:tblGrid>
      <w:tr w:rsidR="005F4529" w:rsidRPr="005F4529" w:rsidTr="0029503D">
        <w:trPr>
          <w:trHeight w:val="322"/>
        </w:trPr>
        <w:tc>
          <w:tcPr>
            <w:tcW w:w="567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№</w:t>
            </w:r>
          </w:p>
          <w:p w:rsidR="005F4529" w:rsidRPr="005F4529" w:rsidRDefault="005F4529" w:rsidP="005F4529">
            <w:pPr>
              <w:keepLines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п/п</w:t>
            </w:r>
          </w:p>
        </w:tc>
        <w:tc>
          <w:tcPr>
            <w:tcW w:w="5670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Наименование вида использования</w:t>
            </w:r>
          </w:p>
        </w:tc>
        <w:tc>
          <w:tcPr>
            <w:tcW w:w="3118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contextualSpacing/>
              <w:jc w:val="center"/>
            </w:pPr>
            <w:r w:rsidRPr="005F4529">
              <w:t>Код (числовое обозначение) вида разрешенного использования земельного участка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5F4529">
              <w:rPr>
                <w:b/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Для индивидуального жилищного строительства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2.1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Малоэтажная многоквартирная жилая застройка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2.1.1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2.2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Блокированная жилая застройка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2.3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Обслуживание жилой застройки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2.7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6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 xml:space="preserve">Коммунальное обслуживание 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3.1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7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Здравоохранение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3.4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8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Культурное развитие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3.6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9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rPr>
                <w:color w:val="000000"/>
              </w:rPr>
              <w:t>Религиозное использование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3.7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10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 xml:space="preserve">Магазины 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4.4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Площадки для занятий спортом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5.1.3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Связь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6.8</w:t>
            </w:r>
          </w:p>
        </w:tc>
      </w:tr>
      <w:tr w:rsidR="005F4529" w:rsidRPr="005F4529" w:rsidTr="0029503D">
        <w:trPr>
          <w:trHeight w:val="286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Земельные участки (территории) общего пользования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12.0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rPr>
                <w:b/>
                <w:color w:val="000000"/>
              </w:rPr>
              <w:t>Условно разрешенные виды использования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rPr>
                <w:color w:val="000000"/>
              </w:rPr>
              <w:t>Социальное обслуживание (*)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3.2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rPr>
                <w:color w:val="000000"/>
              </w:rPr>
              <w:t>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rPr>
                <w:color w:val="000000"/>
              </w:rPr>
              <w:t xml:space="preserve"> </w:t>
            </w:r>
            <w:r w:rsidRPr="005F4529">
              <w:t>Ветеринарное обслуживание (*)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3.10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Образование и просвещение (*)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3.5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rPr>
                <w:b/>
              </w:rPr>
              <w:t>Вспомогательные виды разрешенного использования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Хранение автотранспорта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2.7.1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Отдых (рекреация)</w:t>
            </w:r>
          </w:p>
        </w:tc>
        <w:tc>
          <w:tcPr>
            <w:tcW w:w="3118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5.0</w:t>
            </w:r>
          </w:p>
        </w:tc>
      </w:tr>
    </w:tbl>
    <w:p w:rsidR="005F4529" w:rsidRPr="005F4529" w:rsidRDefault="005F4529" w:rsidP="005F4529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4529" w:rsidRPr="005F4529" w:rsidRDefault="005F4529" w:rsidP="005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F4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статьи 19 таблицу изложить в следующей редакции:</w:t>
      </w: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5F4529" w:rsidRPr="005F4529" w:rsidRDefault="005F4529" w:rsidP="005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356" w:type="dxa"/>
        <w:tblInd w:w="54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119"/>
      </w:tblGrid>
      <w:tr w:rsidR="005F4529" w:rsidRPr="005F4529" w:rsidTr="0029503D">
        <w:trPr>
          <w:trHeight w:val="322"/>
        </w:trPr>
        <w:tc>
          <w:tcPr>
            <w:tcW w:w="567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lastRenderedPageBreak/>
              <w:t>№</w:t>
            </w:r>
          </w:p>
          <w:p w:rsidR="005F4529" w:rsidRPr="005F4529" w:rsidRDefault="005F4529" w:rsidP="005F4529">
            <w:pPr>
              <w:keepLines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п/п</w:t>
            </w:r>
          </w:p>
        </w:tc>
        <w:tc>
          <w:tcPr>
            <w:tcW w:w="5670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Наименование вида использования</w:t>
            </w:r>
          </w:p>
        </w:tc>
        <w:tc>
          <w:tcPr>
            <w:tcW w:w="3119" w:type="dxa"/>
            <w:vAlign w:val="center"/>
          </w:tcPr>
          <w:p w:rsidR="005F4529" w:rsidRPr="005F4529" w:rsidRDefault="005F4529" w:rsidP="005F4529">
            <w:pPr>
              <w:keepLines/>
              <w:snapToGrid w:val="0"/>
              <w:spacing w:line="276" w:lineRule="auto"/>
              <w:ind w:left="-57" w:right="-57"/>
              <w:jc w:val="center"/>
            </w:pPr>
            <w:r w:rsidRPr="005F4529">
              <w:t>Код (числовое обозначение) вида разрешенного использования земельного участка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sz w:val="24"/>
                <w:szCs w:val="24"/>
              </w:rPr>
            </w:pPr>
            <w:r w:rsidRPr="005F4529">
              <w:rPr>
                <w:b/>
                <w:lang w:eastAsia="ar-SA"/>
              </w:rPr>
              <w:t>Основные виды разрешенного использования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Коммунальное обслуживание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3.1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Социальное обслуживание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3.2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 Бытовое обслуживание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3.3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4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both"/>
            </w:pPr>
            <w:r w:rsidRPr="005F4529">
              <w:t>Здравоохранение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</w:pPr>
            <w:r w:rsidRPr="005F4529">
              <w:t>3.4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5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>Культурное развитие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3.6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contextualSpacing/>
              <w:jc w:val="center"/>
              <w:rPr>
                <w:color w:val="000000"/>
              </w:rPr>
            </w:pPr>
            <w:r w:rsidRPr="005F4529">
              <w:rPr>
                <w:color w:val="000000"/>
              </w:rPr>
              <w:t>6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Религиозное развитие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3.7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7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Общественное управление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3.8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8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Ветеринарное обслуживание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3.10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9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Предпринимательство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4.0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10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Деловое управление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4.1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Объекты торговли (торговые центры, торгово-развлекательные центры (комплексы)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4.2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Рынки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4.3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Магазины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4.4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14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Банковская и страховая деятельность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4.5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15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Общественное питание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4.6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16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Гостиничное обслуживание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4.7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17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Развлечения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4.8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18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proofErr w:type="spellStart"/>
            <w:r w:rsidRPr="005F4529">
              <w:rPr>
                <w:lang w:eastAsia="ar-SA"/>
              </w:rPr>
              <w:t>Выставочно</w:t>
            </w:r>
            <w:proofErr w:type="spellEnd"/>
            <w:r w:rsidRPr="005F4529">
              <w:rPr>
                <w:lang w:eastAsia="ar-SA"/>
              </w:rPr>
              <w:t xml:space="preserve">-ярмарочная деятельность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4.10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19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Спорт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5.7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20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Связь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6.8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t>21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lang w:eastAsia="ar-SA"/>
              </w:rPr>
            </w:pPr>
            <w:r w:rsidRPr="005F4529">
              <w:rPr>
                <w:lang w:eastAsia="ar-SA"/>
              </w:rPr>
              <w:t>Стоянки транспорта общего пользования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7.2.3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22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lang w:eastAsia="ar-SA"/>
              </w:rPr>
            </w:pPr>
            <w:r w:rsidRPr="005F4529">
              <w:t>Обеспечение внутреннего правопорядка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8.3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23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t>Земельные участки (территории) общего пользования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12.0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b/>
                <w:bCs/>
              </w:rPr>
            </w:pPr>
            <w:r w:rsidRPr="005F4529">
              <w:rPr>
                <w:b/>
                <w:color w:val="000000"/>
              </w:rPr>
              <w:t>Условно разрешенные виды использования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rPr>
                <w:b/>
                <w:color w:val="000000"/>
              </w:rPr>
            </w:pPr>
            <w:r w:rsidRPr="005F4529">
              <w:t>Обеспечение научной деятельности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  <w:r w:rsidRPr="005F4529">
              <w:rPr>
                <w:lang w:eastAsia="ar-SA"/>
              </w:rPr>
              <w:t>3.9</w:t>
            </w: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b/>
                <w:bCs/>
              </w:rPr>
              <w:t>Вспомогательные виды использования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  <w:rPr>
                <w:lang w:eastAsia="ar-SA"/>
              </w:rPr>
            </w:pPr>
          </w:p>
        </w:tc>
      </w:tr>
      <w:tr w:rsidR="005F4529" w:rsidRPr="005F4529" w:rsidTr="0029503D">
        <w:trPr>
          <w:trHeight w:val="322"/>
        </w:trPr>
        <w:tc>
          <w:tcPr>
            <w:tcW w:w="567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1</w:t>
            </w:r>
          </w:p>
        </w:tc>
        <w:tc>
          <w:tcPr>
            <w:tcW w:w="5670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</w:pPr>
            <w:r w:rsidRPr="005F4529">
              <w:rPr>
                <w:lang w:eastAsia="ar-SA"/>
              </w:rPr>
              <w:t xml:space="preserve">Служебные гаражи </w:t>
            </w:r>
          </w:p>
        </w:tc>
        <w:tc>
          <w:tcPr>
            <w:tcW w:w="3119" w:type="dxa"/>
          </w:tcPr>
          <w:p w:rsidR="005F4529" w:rsidRPr="005F4529" w:rsidRDefault="005F4529" w:rsidP="005F4529">
            <w:pPr>
              <w:snapToGrid w:val="0"/>
              <w:spacing w:line="276" w:lineRule="auto"/>
              <w:ind w:left="-57" w:right="-57"/>
              <w:jc w:val="center"/>
            </w:pPr>
            <w:r w:rsidRPr="005F4529">
              <w:rPr>
                <w:lang w:eastAsia="ar-SA"/>
              </w:rPr>
              <w:t>4.9</w:t>
            </w:r>
          </w:p>
        </w:tc>
      </w:tr>
    </w:tbl>
    <w:p w:rsidR="005F4529" w:rsidRPr="005F4529" w:rsidRDefault="005F4529" w:rsidP="005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5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5F4529" w:rsidRPr="005F4529" w:rsidRDefault="005F4529" w:rsidP="005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529" w:rsidRPr="005F4529" w:rsidRDefault="005F4529" w:rsidP="005F4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529" w:rsidRPr="005F4529" w:rsidRDefault="005F4529" w:rsidP="005F4529">
      <w:pPr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29" w:rsidRPr="005F4529" w:rsidRDefault="005F4529" w:rsidP="005F4529">
      <w:pPr>
        <w:spacing w:after="0" w:line="276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Pr="005F4529" w:rsidRDefault="005F4529" w:rsidP="005F4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529" w:rsidRDefault="005F4529"/>
    <w:sectPr w:rsidR="005F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9"/>
    <w:rsid w:val="000116F9"/>
    <w:rsid w:val="005F4529"/>
    <w:rsid w:val="008C3F11"/>
    <w:rsid w:val="00B84F65"/>
    <w:rsid w:val="00BD1A05"/>
    <w:rsid w:val="00CE655E"/>
    <w:rsid w:val="00F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66A8"/>
  <w15:chartTrackingRefBased/>
  <w15:docId w15:val="{139A8B9D-8626-4034-ADA4-6413BBF1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ь"/>
    <w:rsid w:val="005F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54" w:type="dxa"/>
        <w:bottom w:w="0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A0EE41817B2FB2C3BB36CDA7DF8C331C4729BCFB3A91A98108DAEA3A8BE8CE5E263639736962BC53D9BEM2v3E" TargetMode="External"/><Relationship Id="rId4" Type="http://schemas.openxmlformats.org/officeDocument/2006/relationships/hyperlink" Target="consultantplus://offline/ref=D5A0EE41817B2FB2C3BB36CDA7DF8C331C4729BCFB3A91A98108DAEA3A8BE8CE5E263639736962BC53D9BEM2v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</cp:revision>
  <cp:lastPrinted>2020-04-27T10:03:00Z</cp:lastPrinted>
  <dcterms:created xsi:type="dcterms:W3CDTF">2020-04-27T09:08:00Z</dcterms:created>
  <dcterms:modified xsi:type="dcterms:W3CDTF">2020-04-27T10:15:00Z</dcterms:modified>
</cp:coreProperties>
</file>